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4621"/>
        <w:gridCol w:w="4843"/>
      </w:tblGrid>
      <w:tr w:rsidR="005865C5" w14:paraId="683A8648" w14:textId="77777777" w:rsidTr="000706D6">
        <w:tc>
          <w:tcPr>
            <w:tcW w:w="4621" w:type="dxa"/>
          </w:tcPr>
          <w:p w14:paraId="41632E91" w14:textId="77777777" w:rsidR="005865C5" w:rsidRDefault="005865C5" w:rsidP="000706D6">
            <w:pPr>
              <w:pStyle w:val="Heading1"/>
              <w:rPr>
                <w:sz w:val="52"/>
              </w:rPr>
            </w:pPr>
          </w:p>
          <w:p w14:paraId="14FE5169" w14:textId="77777777" w:rsidR="005865C5" w:rsidRDefault="005865C5" w:rsidP="000706D6">
            <w:pPr>
              <w:pStyle w:val="Heading1"/>
              <w:rPr>
                <w:sz w:val="52"/>
              </w:rPr>
            </w:pPr>
            <w:r>
              <w:rPr>
                <w:sz w:val="52"/>
              </w:rPr>
              <w:t>Media Release</w:t>
            </w:r>
          </w:p>
          <w:p w14:paraId="7B85EFB9" w14:textId="77777777" w:rsidR="005865C5" w:rsidRDefault="005865C5" w:rsidP="005865C5">
            <w:pPr>
              <w:tabs>
                <w:tab w:val="left" w:pos="1155"/>
              </w:tabs>
            </w:pPr>
            <w:r>
              <w:tab/>
            </w:r>
          </w:p>
          <w:p w14:paraId="5C4A9074" w14:textId="02C301EA" w:rsidR="005865C5" w:rsidRPr="005865C5" w:rsidRDefault="003B654B" w:rsidP="00363AD9">
            <w:pPr>
              <w:tabs>
                <w:tab w:val="left" w:pos="1155"/>
              </w:tabs>
            </w:pPr>
            <w:r>
              <w:rPr>
                <w:rFonts w:ascii="Arial" w:hAnsi="Arial" w:cs="Arial"/>
              </w:rPr>
              <w:t>EMBARGOED</w:t>
            </w:r>
            <w:r w:rsidR="0052159A">
              <w:rPr>
                <w:rFonts w:ascii="Arial" w:hAnsi="Arial" w:cs="Arial"/>
              </w:rPr>
              <w:t xml:space="preserve">: </w:t>
            </w:r>
            <w:r w:rsidR="00E3662E">
              <w:rPr>
                <w:rFonts w:ascii="Arial" w:hAnsi="Arial" w:cs="Arial"/>
              </w:rPr>
              <w:t>28 APRIL 2021</w:t>
            </w:r>
          </w:p>
        </w:tc>
        <w:tc>
          <w:tcPr>
            <w:tcW w:w="4843" w:type="dxa"/>
          </w:tcPr>
          <w:p w14:paraId="3394A2E9" w14:textId="77777777" w:rsidR="005865C5" w:rsidRDefault="005865C5" w:rsidP="000706D6">
            <w:pPr>
              <w:pStyle w:val="Header"/>
              <w:ind w:left="1859"/>
              <w:jc w:val="right"/>
              <w:rPr>
                <w:color w:val="000000"/>
              </w:rPr>
            </w:pPr>
            <w:r>
              <w:rPr>
                <w:noProof/>
                <w:color w:val="000000"/>
                <w:lang w:eastAsia="en-GB"/>
              </w:rPr>
              <w:drawing>
                <wp:inline distT="0" distB="0" distL="0" distR="0" wp14:anchorId="26602F41" wp14:editId="53018B35">
                  <wp:extent cx="11906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p>
        </w:tc>
      </w:tr>
    </w:tbl>
    <w:p w14:paraId="2B59521D" w14:textId="21CC410E" w:rsidR="006451FB" w:rsidRDefault="006451FB" w:rsidP="009D3F56">
      <w:pPr>
        <w:pStyle w:val="BodyA"/>
        <w:rPr>
          <w:b/>
          <w:sz w:val="28"/>
          <w:szCs w:val="28"/>
        </w:rPr>
      </w:pPr>
      <w:r>
        <w:rPr>
          <w:b/>
          <w:sz w:val="28"/>
          <w:szCs w:val="28"/>
        </w:rPr>
        <w:br/>
        <w:t xml:space="preserve">NEBOSH </w:t>
      </w:r>
      <w:r w:rsidR="0052159A">
        <w:rPr>
          <w:b/>
          <w:sz w:val="28"/>
          <w:szCs w:val="28"/>
        </w:rPr>
        <w:t>partners with Health and Safety Executive to launch new risk management qualification</w:t>
      </w:r>
    </w:p>
    <w:p w14:paraId="231EE6D4" w14:textId="77777777" w:rsidR="006451FB" w:rsidRDefault="006451FB" w:rsidP="009D3F56">
      <w:pPr>
        <w:pStyle w:val="BodyA"/>
        <w:rPr>
          <w:b/>
          <w:sz w:val="28"/>
          <w:szCs w:val="28"/>
        </w:rPr>
      </w:pPr>
    </w:p>
    <w:p w14:paraId="5793BE1B" w14:textId="706441FA" w:rsidR="00F10F97" w:rsidRDefault="0052159A" w:rsidP="009D3F56">
      <w:pPr>
        <w:pStyle w:val="BodyA"/>
        <w:tabs>
          <w:tab w:val="left" w:pos="2595"/>
        </w:tabs>
        <w:rPr>
          <w:rFonts w:ascii="Arial" w:hAnsi="Arial" w:cs="Arial"/>
          <w:iCs/>
        </w:rPr>
      </w:pPr>
      <w:r>
        <w:rPr>
          <w:rFonts w:ascii="Arial" w:hAnsi="Arial" w:cs="Arial"/>
          <w:iCs/>
        </w:rPr>
        <w:t>NEBOSH has partnered with Great Britain’s regulator, the Health and Safety Executive, to launch a</w:t>
      </w:r>
      <w:r w:rsidR="00B53291">
        <w:rPr>
          <w:rFonts w:ascii="Arial" w:hAnsi="Arial" w:cs="Arial"/>
          <w:iCs/>
        </w:rPr>
        <w:t xml:space="preserve">n </w:t>
      </w:r>
      <w:r w:rsidR="00B53291" w:rsidRPr="00B53291">
        <w:rPr>
          <w:rFonts w:ascii="Arial" w:hAnsi="Arial" w:cs="Arial"/>
          <w:iCs/>
        </w:rPr>
        <w:t>introductory qualification that provides straightforward, practical health and safety risk management skills</w:t>
      </w:r>
      <w:r w:rsidR="00B53291">
        <w:rPr>
          <w:rFonts w:ascii="Arial" w:hAnsi="Arial" w:cs="Arial"/>
          <w:iCs/>
        </w:rPr>
        <w:t xml:space="preserve">. </w:t>
      </w:r>
    </w:p>
    <w:p w14:paraId="5143F6CD" w14:textId="375FEE5D" w:rsidR="00B53291" w:rsidRDefault="00B53291" w:rsidP="009D3F56">
      <w:pPr>
        <w:pStyle w:val="BodyA"/>
        <w:tabs>
          <w:tab w:val="left" w:pos="2595"/>
        </w:tabs>
        <w:rPr>
          <w:rFonts w:ascii="Arial" w:hAnsi="Arial" w:cs="Arial"/>
          <w:iCs/>
        </w:rPr>
      </w:pPr>
    </w:p>
    <w:p w14:paraId="76484218" w14:textId="7F08D646" w:rsidR="00B53291" w:rsidRDefault="00B53291" w:rsidP="009D3F56">
      <w:pPr>
        <w:pStyle w:val="BodyA"/>
        <w:tabs>
          <w:tab w:val="left" w:pos="2595"/>
        </w:tabs>
        <w:rPr>
          <w:rFonts w:ascii="Arial" w:hAnsi="Arial" w:cs="Arial"/>
          <w:iCs/>
        </w:rPr>
      </w:pPr>
      <w:r>
        <w:rPr>
          <w:rFonts w:ascii="Arial" w:hAnsi="Arial" w:cs="Arial"/>
          <w:iCs/>
        </w:rPr>
        <w:t xml:space="preserve">The </w:t>
      </w:r>
      <w:r w:rsidRPr="00B53291">
        <w:rPr>
          <w:rFonts w:ascii="Arial" w:hAnsi="Arial" w:cs="Arial"/>
          <w:iCs/>
        </w:rPr>
        <w:t>NEBOSH HSE Award in Managing Risk</w:t>
      </w:r>
      <w:r w:rsidR="00B26F33">
        <w:rPr>
          <w:rFonts w:ascii="Arial" w:hAnsi="Arial" w:cs="Arial"/>
          <w:iCs/>
        </w:rPr>
        <w:t>s</w:t>
      </w:r>
      <w:r w:rsidRPr="00B53291">
        <w:rPr>
          <w:rFonts w:ascii="Arial" w:hAnsi="Arial" w:cs="Arial"/>
          <w:iCs/>
        </w:rPr>
        <w:t xml:space="preserve"> and Risk Assessment at Work</w:t>
      </w:r>
      <w:r w:rsidR="00691BEE">
        <w:rPr>
          <w:rFonts w:ascii="Arial" w:hAnsi="Arial" w:cs="Arial"/>
          <w:iCs/>
        </w:rPr>
        <w:t xml:space="preserve"> </w:t>
      </w:r>
      <w:r w:rsidR="0050072C">
        <w:rPr>
          <w:rFonts w:ascii="Arial" w:hAnsi="Arial" w:cs="Arial"/>
          <w:iCs/>
        </w:rPr>
        <w:t xml:space="preserve">is rooted in a proportional approach to risk; it provides the fundamentals people need to </w:t>
      </w:r>
      <w:r w:rsidR="001E6DE9">
        <w:rPr>
          <w:rFonts w:ascii="Arial" w:hAnsi="Arial" w:cs="Arial"/>
          <w:iCs/>
        </w:rPr>
        <w:t xml:space="preserve">build an effective </w:t>
      </w:r>
      <w:r w:rsidR="00FD61F6">
        <w:rPr>
          <w:rFonts w:ascii="Arial" w:hAnsi="Arial" w:cs="Arial"/>
          <w:iCs/>
        </w:rPr>
        <w:t>approach</w:t>
      </w:r>
      <w:r w:rsidR="00AC7DA6">
        <w:rPr>
          <w:rFonts w:ascii="Arial" w:hAnsi="Arial" w:cs="Arial"/>
          <w:iCs/>
        </w:rPr>
        <w:t xml:space="preserve"> to</w:t>
      </w:r>
      <w:r w:rsidR="00FD61F6">
        <w:rPr>
          <w:rFonts w:ascii="Arial" w:hAnsi="Arial" w:cs="Arial"/>
          <w:iCs/>
        </w:rPr>
        <w:t xml:space="preserve"> </w:t>
      </w:r>
      <w:r w:rsidR="0050072C">
        <w:rPr>
          <w:rFonts w:ascii="Arial" w:hAnsi="Arial" w:cs="Arial"/>
          <w:iCs/>
        </w:rPr>
        <w:t>risk management</w:t>
      </w:r>
      <w:r w:rsidR="001E6DE9">
        <w:rPr>
          <w:rFonts w:ascii="Arial" w:hAnsi="Arial" w:cs="Arial"/>
          <w:iCs/>
        </w:rPr>
        <w:t xml:space="preserve"> </w:t>
      </w:r>
      <w:r w:rsidR="0050072C">
        <w:rPr>
          <w:rFonts w:ascii="Arial" w:hAnsi="Arial" w:cs="Arial"/>
          <w:iCs/>
        </w:rPr>
        <w:t xml:space="preserve">in their workplace </w:t>
      </w:r>
      <w:r w:rsidR="009918BA">
        <w:rPr>
          <w:rFonts w:ascii="Arial" w:hAnsi="Arial" w:cs="Arial"/>
          <w:iCs/>
        </w:rPr>
        <w:t xml:space="preserve">that focuses not only on the risk assessment itself, but on the practical actions needed to control and monitor those risks in order </w:t>
      </w:r>
      <w:r w:rsidR="00510ED3" w:rsidRPr="00510ED3">
        <w:rPr>
          <w:rFonts w:ascii="Arial" w:hAnsi="Arial" w:cs="Arial"/>
          <w:iCs/>
        </w:rPr>
        <w:t>to protect people from harm</w:t>
      </w:r>
      <w:r w:rsidR="004849CD">
        <w:rPr>
          <w:rFonts w:ascii="Arial" w:hAnsi="Arial" w:cs="Arial"/>
          <w:iCs/>
        </w:rPr>
        <w:t>.</w:t>
      </w:r>
    </w:p>
    <w:p w14:paraId="5D36CA73" w14:textId="1A0196DD" w:rsidR="00691BEE" w:rsidRDefault="00691BEE" w:rsidP="009D3F56">
      <w:pPr>
        <w:pStyle w:val="BodyA"/>
        <w:tabs>
          <w:tab w:val="left" w:pos="2595"/>
        </w:tabs>
        <w:rPr>
          <w:rFonts w:ascii="Arial" w:hAnsi="Arial" w:cs="Arial"/>
          <w:iCs/>
        </w:rPr>
      </w:pPr>
    </w:p>
    <w:p w14:paraId="4A056424" w14:textId="7A0EE6EF" w:rsidR="00691BEE" w:rsidRDefault="00691BEE" w:rsidP="009D3F56">
      <w:pPr>
        <w:pStyle w:val="BodyA"/>
        <w:tabs>
          <w:tab w:val="left" w:pos="2595"/>
        </w:tabs>
        <w:rPr>
          <w:rFonts w:ascii="Arial" w:hAnsi="Arial" w:cs="Arial"/>
          <w:iCs/>
        </w:rPr>
      </w:pPr>
      <w:r>
        <w:rPr>
          <w:rFonts w:ascii="Arial" w:hAnsi="Arial" w:cs="Arial"/>
          <w:iCs/>
        </w:rPr>
        <w:t xml:space="preserve">Suitable for any employee or team member </w:t>
      </w:r>
      <w:r w:rsidR="0050072C">
        <w:rPr>
          <w:rFonts w:ascii="Arial" w:hAnsi="Arial" w:cs="Arial"/>
          <w:iCs/>
        </w:rPr>
        <w:t>in a low to medium risk setting</w:t>
      </w:r>
      <w:r>
        <w:rPr>
          <w:rFonts w:ascii="Arial" w:hAnsi="Arial" w:cs="Arial"/>
          <w:iCs/>
        </w:rPr>
        <w:t xml:space="preserve">, successful learners will understand the principles of risk management, </w:t>
      </w:r>
      <w:r w:rsidR="0050072C">
        <w:rPr>
          <w:rFonts w:ascii="Arial" w:hAnsi="Arial" w:cs="Arial"/>
          <w:iCs/>
        </w:rPr>
        <w:t>know how to iden</w:t>
      </w:r>
      <w:r w:rsidR="003808C1">
        <w:rPr>
          <w:rFonts w:ascii="Arial" w:hAnsi="Arial" w:cs="Arial"/>
          <w:iCs/>
        </w:rPr>
        <w:t>tify</w:t>
      </w:r>
      <w:r w:rsidR="0050072C">
        <w:rPr>
          <w:rFonts w:ascii="Arial" w:hAnsi="Arial" w:cs="Arial"/>
          <w:iCs/>
        </w:rPr>
        <w:t xml:space="preserve"> and evaluate hazards, </w:t>
      </w:r>
      <w:r w:rsidR="009918BA">
        <w:rPr>
          <w:rFonts w:ascii="Arial" w:hAnsi="Arial" w:cs="Arial"/>
          <w:iCs/>
        </w:rPr>
        <w:t xml:space="preserve">complete a risk assessment and </w:t>
      </w:r>
      <w:r w:rsidR="0050072C">
        <w:rPr>
          <w:rFonts w:ascii="Arial" w:hAnsi="Arial" w:cs="Arial"/>
          <w:iCs/>
        </w:rPr>
        <w:t xml:space="preserve">be able to use simple tools to </w:t>
      </w:r>
      <w:r w:rsidR="00B26F33">
        <w:rPr>
          <w:rFonts w:ascii="Arial" w:hAnsi="Arial" w:cs="Arial"/>
          <w:iCs/>
        </w:rPr>
        <w:t>control risk</w:t>
      </w:r>
      <w:r w:rsidR="009918BA">
        <w:rPr>
          <w:rFonts w:ascii="Arial" w:hAnsi="Arial" w:cs="Arial"/>
          <w:iCs/>
        </w:rPr>
        <w:t>.</w:t>
      </w:r>
      <w:r w:rsidR="0050072C">
        <w:rPr>
          <w:rFonts w:ascii="Arial" w:hAnsi="Arial" w:cs="Arial"/>
          <w:iCs/>
        </w:rPr>
        <w:t xml:space="preserve"> For employers they will have assurance that their employees are trained</w:t>
      </w:r>
      <w:r w:rsidR="00061ECF">
        <w:rPr>
          <w:rFonts w:ascii="Arial" w:hAnsi="Arial" w:cs="Arial"/>
          <w:iCs/>
        </w:rPr>
        <w:t xml:space="preserve"> in</w:t>
      </w:r>
      <w:r w:rsidR="0050072C">
        <w:rPr>
          <w:rFonts w:ascii="Arial" w:hAnsi="Arial" w:cs="Arial"/>
          <w:iCs/>
        </w:rPr>
        <w:t xml:space="preserve"> the Health and Safety Executive’s best practice approach to health and safety risk management. </w:t>
      </w:r>
    </w:p>
    <w:p w14:paraId="1705A2C4" w14:textId="4E41F6F2" w:rsidR="00A556BF" w:rsidRDefault="00A556BF" w:rsidP="009D3F56">
      <w:pPr>
        <w:pStyle w:val="BodyA"/>
        <w:tabs>
          <w:tab w:val="left" w:pos="2595"/>
        </w:tabs>
        <w:rPr>
          <w:rFonts w:ascii="Arial" w:hAnsi="Arial" w:cs="Arial"/>
          <w:iCs/>
        </w:rPr>
      </w:pPr>
    </w:p>
    <w:p w14:paraId="53AB6F2A" w14:textId="159882CD" w:rsidR="00A556BF" w:rsidRDefault="00A556BF" w:rsidP="009D3F56">
      <w:pPr>
        <w:pStyle w:val="BodyA"/>
        <w:tabs>
          <w:tab w:val="left" w:pos="2595"/>
        </w:tabs>
        <w:rPr>
          <w:rFonts w:ascii="Arial" w:hAnsi="Arial" w:cs="Arial"/>
          <w:iCs/>
        </w:rPr>
      </w:pPr>
      <w:r>
        <w:rPr>
          <w:rFonts w:ascii="Arial" w:hAnsi="Arial" w:cs="Arial"/>
          <w:iCs/>
        </w:rPr>
        <w:t>Matt Powell-Howard, NEBOSH Head of Learning and Partnerships, said: “Risk management is about taking practical steps to protect people from real harm. It should never be a “back covering” exercise but something that can have a really positive impact on workplace</w:t>
      </w:r>
      <w:r w:rsidR="0050072C">
        <w:rPr>
          <w:rFonts w:ascii="Arial" w:hAnsi="Arial" w:cs="Arial"/>
          <w:iCs/>
        </w:rPr>
        <w:t xml:space="preserve"> </w:t>
      </w:r>
      <w:r w:rsidR="00510ED3">
        <w:rPr>
          <w:rFonts w:ascii="Arial" w:hAnsi="Arial" w:cs="Arial"/>
          <w:iCs/>
        </w:rPr>
        <w:t xml:space="preserve">health and </w:t>
      </w:r>
      <w:r w:rsidR="0050072C">
        <w:rPr>
          <w:rFonts w:ascii="Arial" w:hAnsi="Arial" w:cs="Arial"/>
          <w:iCs/>
        </w:rPr>
        <w:t>safety</w:t>
      </w:r>
      <w:r>
        <w:rPr>
          <w:rFonts w:ascii="Arial" w:hAnsi="Arial" w:cs="Arial"/>
          <w:iCs/>
        </w:rPr>
        <w:t>. This qualification provide</w:t>
      </w:r>
      <w:r w:rsidR="0050072C">
        <w:rPr>
          <w:rFonts w:ascii="Arial" w:hAnsi="Arial" w:cs="Arial"/>
          <w:iCs/>
        </w:rPr>
        <w:t>s</w:t>
      </w:r>
      <w:r>
        <w:rPr>
          <w:rFonts w:ascii="Arial" w:hAnsi="Arial" w:cs="Arial"/>
          <w:iCs/>
        </w:rPr>
        <w:t xml:space="preserve"> practical steps that anyone can take to identify, assess and</w:t>
      </w:r>
      <w:r w:rsidR="00FD61F6">
        <w:rPr>
          <w:rFonts w:ascii="Arial" w:hAnsi="Arial" w:cs="Arial"/>
          <w:iCs/>
        </w:rPr>
        <w:t xml:space="preserve"> control</w:t>
      </w:r>
      <w:r>
        <w:rPr>
          <w:rFonts w:ascii="Arial" w:hAnsi="Arial" w:cs="Arial"/>
          <w:iCs/>
        </w:rPr>
        <w:t xml:space="preserve"> risks. We know that there are lots of demands on people’s time, that’s why we’ve really focused the content onto what really matters so that it can be completed in one day.”</w:t>
      </w:r>
    </w:p>
    <w:p w14:paraId="314A1381" w14:textId="01DB13E8" w:rsidR="00A556BF" w:rsidRDefault="00A556BF" w:rsidP="009D3F56">
      <w:pPr>
        <w:pStyle w:val="BodyA"/>
        <w:tabs>
          <w:tab w:val="left" w:pos="2595"/>
        </w:tabs>
        <w:rPr>
          <w:rFonts w:ascii="Arial" w:hAnsi="Arial" w:cs="Arial"/>
          <w:iCs/>
        </w:rPr>
      </w:pPr>
    </w:p>
    <w:p w14:paraId="7DAB5FD3" w14:textId="25C189C7" w:rsidR="00E3662E" w:rsidRPr="008F1461" w:rsidRDefault="00A37245" w:rsidP="00E3662E">
      <w:pPr>
        <w:pStyle w:val="BodyA"/>
        <w:tabs>
          <w:tab w:val="left" w:pos="2595"/>
        </w:tabs>
        <w:rPr>
          <w:rFonts w:ascii="Arial" w:hAnsi="Arial" w:cs="Arial"/>
          <w:iCs/>
          <w:color w:val="auto"/>
        </w:rPr>
      </w:pPr>
      <w:r>
        <w:rPr>
          <w:rFonts w:ascii="Arial" w:hAnsi="Arial" w:cs="Arial"/>
          <w:iCs/>
          <w:color w:val="auto"/>
        </w:rPr>
        <w:t>Ron Macbeth, Risk Assessment Technical Lead</w:t>
      </w:r>
      <w:r w:rsidR="00E3662E" w:rsidRPr="008F1461">
        <w:rPr>
          <w:rFonts w:ascii="Arial" w:hAnsi="Arial" w:cs="Arial"/>
          <w:iCs/>
          <w:color w:val="auto"/>
        </w:rPr>
        <w:t xml:space="preserve"> at the Health and Safety Executive, added: “</w:t>
      </w:r>
      <w:r w:rsidRPr="00A37245">
        <w:rPr>
          <w:rFonts w:ascii="Arial" w:hAnsi="Arial" w:cs="Arial"/>
          <w:iCs/>
          <w:color w:val="auto"/>
        </w:rPr>
        <w:t>Assessment is not the end product of risk management, and businesses should understand that the elimination or control of the assessed risks is the more important part of the overall process.  This new qualification focuses on how organisations can effectively and sustainably manage risks in a proportionate manner.</w:t>
      </w:r>
      <w:r>
        <w:rPr>
          <w:rFonts w:ascii="Arial" w:hAnsi="Arial" w:cs="Arial"/>
          <w:iCs/>
          <w:color w:val="auto"/>
        </w:rPr>
        <w:t>”</w:t>
      </w:r>
    </w:p>
    <w:p w14:paraId="44B5BBAF" w14:textId="0AEDF2E8" w:rsidR="00A556BF" w:rsidRDefault="00A556BF" w:rsidP="009D3F56">
      <w:pPr>
        <w:pStyle w:val="BodyA"/>
        <w:tabs>
          <w:tab w:val="left" w:pos="2595"/>
        </w:tabs>
        <w:rPr>
          <w:rFonts w:ascii="Arial" w:hAnsi="Arial" w:cs="Arial"/>
          <w:iCs/>
          <w:color w:val="FF0000"/>
        </w:rPr>
      </w:pPr>
    </w:p>
    <w:p w14:paraId="56A314BB" w14:textId="28BE45B4" w:rsidR="00A556BF" w:rsidRDefault="00A556BF" w:rsidP="00A556BF">
      <w:pPr>
        <w:pStyle w:val="BodyA"/>
        <w:tabs>
          <w:tab w:val="left" w:pos="2595"/>
        </w:tabs>
        <w:rPr>
          <w:rFonts w:ascii="Arial" w:hAnsi="Arial" w:cs="Arial"/>
          <w:iCs/>
        </w:rPr>
      </w:pPr>
      <w:r>
        <w:rPr>
          <w:rFonts w:ascii="Arial" w:hAnsi="Arial" w:cs="Arial"/>
          <w:iCs/>
        </w:rPr>
        <w:t xml:space="preserve">The </w:t>
      </w:r>
      <w:r w:rsidRPr="00B53291">
        <w:rPr>
          <w:rFonts w:ascii="Arial" w:hAnsi="Arial" w:cs="Arial"/>
          <w:iCs/>
        </w:rPr>
        <w:t>NEBOSH HSE Award in Managing Risk</w:t>
      </w:r>
      <w:r w:rsidR="00B26F33">
        <w:rPr>
          <w:rFonts w:ascii="Arial" w:hAnsi="Arial" w:cs="Arial"/>
          <w:iCs/>
        </w:rPr>
        <w:t>s</w:t>
      </w:r>
      <w:r w:rsidRPr="00B53291">
        <w:rPr>
          <w:rFonts w:ascii="Arial" w:hAnsi="Arial" w:cs="Arial"/>
          <w:iCs/>
        </w:rPr>
        <w:t xml:space="preserve"> and Risk Assessment at Work</w:t>
      </w:r>
      <w:r>
        <w:rPr>
          <w:rFonts w:ascii="Arial" w:hAnsi="Arial" w:cs="Arial"/>
          <w:iCs/>
        </w:rPr>
        <w:t xml:space="preserve"> can be studied through NEBOSH’s global network of accredited Learning Partners, offering options for both online and classroom learning. For more information visit: </w:t>
      </w:r>
      <w:r w:rsidRPr="00A556BF">
        <w:rPr>
          <w:rFonts w:ascii="Arial" w:hAnsi="Arial" w:cs="Arial"/>
          <w:iCs/>
        </w:rPr>
        <w:t xml:space="preserve">www.nebosh.org.uk/hserisk  </w:t>
      </w:r>
    </w:p>
    <w:p w14:paraId="658C68F3" w14:textId="77777777" w:rsidR="00A556BF" w:rsidRPr="00A556BF" w:rsidRDefault="00A556BF" w:rsidP="009D3F56">
      <w:pPr>
        <w:pStyle w:val="BodyA"/>
        <w:tabs>
          <w:tab w:val="left" w:pos="2595"/>
        </w:tabs>
        <w:rPr>
          <w:rFonts w:ascii="Arial" w:hAnsi="Arial" w:cs="Arial"/>
          <w:iCs/>
          <w:color w:val="FF0000"/>
        </w:rPr>
      </w:pPr>
    </w:p>
    <w:p w14:paraId="616DFAA5" w14:textId="77777777" w:rsidR="00E7294C" w:rsidRPr="000537EC" w:rsidRDefault="00E7294C" w:rsidP="00135167">
      <w:pPr>
        <w:pStyle w:val="BodyA"/>
        <w:rPr>
          <w:rFonts w:ascii="Arial" w:hAnsi="Arial" w:cs="Arial"/>
          <w:iCs/>
        </w:rPr>
      </w:pPr>
    </w:p>
    <w:p w14:paraId="2297F4D0" w14:textId="77777777" w:rsidR="004849CD" w:rsidRDefault="004849CD">
      <w:pPr>
        <w:rPr>
          <w:rFonts w:ascii="Arial" w:eastAsia="Arial Unicode MS" w:hAnsi="Arial" w:cs="Arial"/>
          <w:bCs/>
          <w:color w:val="000000"/>
          <w:bdr w:val="nil"/>
          <w:lang w:val="en-US"/>
        </w:rPr>
      </w:pPr>
      <w:r>
        <w:rPr>
          <w:rFonts w:ascii="Arial" w:hAnsi="Arial" w:cs="Arial"/>
          <w:bCs/>
        </w:rPr>
        <w:br w:type="page"/>
      </w:r>
    </w:p>
    <w:p w14:paraId="43A82EA7" w14:textId="32F6012D" w:rsidR="000A1440" w:rsidRPr="00AC7E17" w:rsidRDefault="00AC7E17" w:rsidP="00AC7E17">
      <w:pPr>
        <w:pStyle w:val="Body"/>
        <w:numPr>
          <w:ilvl w:val="0"/>
          <w:numId w:val="2"/>
        </w:numPr>
        <w:rPr>
          <w:rFonts w:ascii="Arial" w:hAnsi="Arial" w:cs="Arial"/>
          <w:bCs/>
        </w:rPr>
      </w:pPr>
      <w:r w:rsidRPr="00AC7E17">
        <w:rPr>
          <w:rFonts w:ascii="Arial" w:hAnsi="Arial" w:cs="Arial"/>
          <w:bCs/>
        </w:rPr>
        <w:lastRenderedPageBreak/>
        <w:t xml:space="preserve">ENDS </w:t>
      </w:r>
      <w:r>
        <w:rPr>
          <w:rFonts w:ascii="Arial" w:hAnsi="Arial" w:cs="Arial"/>
          <w:bCs/>
        </w:rPr>
        <w:t xml:space="preserve"> </w:t>
      </w:r>
      <w:r w:rsidRPr="00AC7E17">
        <w:rPr>
          <w:rFonts w:ascii="Arial" w:hAnsi="Arial" w:cs="Arial"/>
          <w:bCs/>
        </w:rPr>
        <w:t xml:space="preserve">- </w:t>
      </w:r>
    </w:p>
    <w:p w14:paraId="2612A831" w14:textId="77777777" w:rsidR="000A1440" w:rsidRPr="00B67E8E" w:rsidRDefault="000A1440" w:rsidP="00A77C6A">
      <w:pPr>
        <w:pStyle w:val="Body"/>
        <w:rPr>
          <w:rFonts w:ascii="Arial" w:hAnsi="Arial" w:cs="Arial"/>
          <w:b/>
          <w:bCs/>
        </w:rPr>
      </w:pPr>
    </w:p>
    <w:p w14:paraId="34CB2C61" w14:textId="77777777" w:rsidR="00A77C6A" w:rsidRPr="00B67E8E" w:rsidRDefault="00A77C6A" w:rsidP="00A77C6A">
      <w:pPr>
        <w:pStyle w:val="Body"/>
        <w:rPr>
          <w:rFonts w:ascii="Arial" w:hAnsi="Arial" w:cs="Arial"/>
          <w:b/>
          <w:bCs/>
        </w:rPr>
      </w:pPr>
      <w:r w:rsidRPr="00B67E8E">
        <w:rPr>
          <w:rFonts w:ascii="Arial" w:hAnsi="Arial" w:cs="Arial"/>
          <w:b/>
          <w:bCs/>
        </w:rPr>
        <w:t>Notes to Editors</w:t>
      </w:r>
    </w:p>
    <w:p w14:paraId="71725123" w14:textId="77777777" w:rsidR="00A77C6A" w:rsidRPr="00B67E8E" w:rsidRDefault="00A77C6A" w:rsidP="00A77C6A">
      <w:pPr>
        <w:pStyle w:val="Body"/>
        <w:rPr>
          <w:rFonts w:ascii="Arial" w:hAnsi="Arial" w:cs="Arial"/>
          <w:b/>
          <w:bCs/>
        </w:rPr>
      </w:pPr>
    </w:p>
    <w:p w14:paraId="499FABFE" w14:textId="77777777" w:rsidR="00A77C6A" w:rsidRPr="00B67E8E" w:rsidRDefault="00A77C6A" w:rsidP="00A77C6A">
      <w:pPr>
        <w:pStyle w:val="Body"/>
        <w:rPr>
          <w:rFonts w:ascii="Arial" w:hAnsi="Arial" w:cs="Arial"/>
          <w:b/>
          <w:bCs/>
        </w:rPr>
      </w:pPr>
      <w:r w:rsidRPr="00B67E8E">
        <w:rPr>
          <w:rFonts w:ascii="Arial" w:hAnsi="Arial" w:cs="Arial"/>
          <w:b/>
          <w:bCs/>
        </w:rPr>
        <w:t>About NEBOSH</w:t>
      </w:r>
    </w:p>
    <w:p w14:paraId="0D9607EB" w14:textId="77777777" w:rsidR="00A77C6A" w:rsidRPr="00B67E8E" w:rsidRDefault="00A77C6A" w:rsidP="00A77C6A">
      <w:pPr>
        <w:pStyle w:val="Body"/>
        <w:rPr>
          <w:rFonts w:ascii="Arial" w:hAnsi="Arial" w:cs="Arial"/>
          <w:b/>
          <w:bCs/>
        </w:rPr>
      </w:pPr>
    </w:p>
    <w:p w14:paraId="4FBA7147" w14:textId="77777777" w:rsidR="00363AD9" w:rsidRPr="00363AD9" w:rsidRDefault="00363AD9" w:rsidP="00363AD9">
      <w:pPr>
        <w:rPr>
          <w:rFonts w:ascii="Arial" w:hAnsi="Arial" w:cs="Arial"/>
        </w:rPr>
      </w:pPr>
      <w:r w:rsidRPr="00363AD9">
        <w:rPr>
          <w:rFonts w:ascii="Arial" w:hAnsi="Arial" w:cs="Arial"/>
        </w:rPr>
        <w:t>NEBOSH is a leading global brand in health, safety</w:t>
      </w:r>
      <w:r w:rsidR="00640CC1">
        <w:rPr>
          <w:rFonts w:ascii="Arial" w:hAnsi="Arial" w:cs="Arial"/>
        </w:rPr>
        <w:t>, wellbeing</w:t>
      </w:r>
      <w:r w:rsidRPr="00363AD9">
        <w:rPr>
          <w:rFonts w:ascii="Arial" w:hAnsi="Arial" w:cs="Arial"/>
        </w:rPr>
        <w:t xml:space="preserve"> and env</w:t>
      </w:r>
      <w:r w:rsidR="00640CC1">
        <w:rPr>
          <w:rFonts w:ascii="Arial" w:hAnsi="Arial" w:cs="Arial"/>
        </w:rPr>
        <w:t>ironmental qualifications. I</w:t>
      </w:r>
      <w:r w:rsidRPr="00363AD9">
        <w:rPr>
          <w:rFonts w:ascii="Arial" w:hAnsi="Arial" w:cs="Arial"/>
        </w:rPr>
        <w:t>nternationally recognised qualifications help to raise the competence of safety and environmental professionals as well as individuals at all levels in the workplace.</w:t>
      </w:r>
    </w:p>
    <w:p w14:paraId="3E987F65" w14:textId="77777777" w:rsidR="00363AD9" w:rsidRPr="00363AD9" w:rsidRDefault="00640CC1" w:rsidP="00363AD9">
      <w:pPr>
        <w:rPr>
          <w:rFonts w:ascii="Arial" w:hAnsi="Arial" w:cs="Arial"/>
        </w:rPr>
      </w:pPr>
      <w:r>
        <w:rPr>
          <w:rFonts w:ascii="Arial" w:hAnsi="Arial" w:cs="Arial"/>
        </w:rPr>
        <w:t xml:space="preserve">Since </w:t>
      </w:r>
      <w:r w:rsidR="00C011BA">
        <w:rPr>
          <w:rFonts w:ascii="Arial" w:hAnsi="Arial" w:cs="Arial"/>
        </w:rPr>
        <w:t xml:space="preserve">its </w:t>
      </w:r>
      <w:r w:rsidR="00363AD9" w:rsidRPr="00363AD9">
        <w:rPr>
          <w:rFonts w:ascii="Arial" w:hAnsi="Arial" w:cs="Arial"/>
        </w:rPr>
        <w:t xml:space="preserve">inception in 1979 more than half a million people from around the world have studied for a NEBOSH qualification.  Tens of thousands join their number every year studying with our network of 600 </w:t>
      </w:r>
      <w:r w:rsidR="008923C8">
        <w:rPr>
          <w:rFonts w:ascii="Arial" w:hAnsi="Arial" w:cs="Arial"/>
        </w:rPr>
        <w:t xml:space="preserve">learning partners </w:t>
      </w:r>
      <w:r w:rsidR="00363AD9" w:rsidRPr="00363AD9">
        <w:rPr>
          <w:rFonts w:ascii="Arial" w:hAnsi="Arial" w:cs="Arial"/>
        </w:rPr>
        <w:t>in over 132 countries.</w:t>
      </w:r>
    </w:p>
    <w:p w14:paraId="7B5C0DEB" w14:textId="77777777" w:rsidR="00D53724" w:rsidRDefault="00640CC1" w:rsidP="00363AD9">
      <w:pPr>
        <w:rPr>
          <w:rFonts w:ascii="Arial" w:hAnsi="Arial" w:cs="Arial"/>
        </w:rPr>
      </w:pPr>
      <w:r>
        <w:rPr>
          <w:rFonts w:ascii="Arial" w:hAnsi="Arial" w:cs="Arial"/>
        </w:rPr>
        <w:t xml:space="preserve">NEBOSH </w:t>
      </w:r>
      <w:r w:rsidR="00363AD9" w:rsidRPr="00363AD9">
        <w:rPr>
          <w:rFonts w:ascii="Arial" w:hAnsi="Arial" w:cs="Arial"/>
        </w:rPr>
        <w:t>qualifications are highly respected by governm</w:t>
      </w:r>
      <w:r>
        <w:rPr>
          <w:rFonts w:ascii="Arial" w:hAnsi="Arial" w:cs="Arial"/>
        </w:rPr>
        <w:t>ents, employers and our learners</w:t>
      </w:r>
      <w:r w:rsidR="00363AD9" w:rsidRPr="00363AD9">
        <w:rPr>
          <w:rFonts w:ascii="Arial" w:hAnsi="Arial" w:cs="Arial"/>
        </w:rPr>
        <w:t xml:space="preserve">.  They build the knowledge and skills which underpin competent performance as a health, safety and environmental professional. </w:t>
      </w:r>
      <w:r w:rsidR="00363AD9" w:rsidRPr="00B67E8E">
        <w:rPr>
          <w:rFonts w:ascii="Arial" w:hAnsi="Arial" w:cs="Arial"/>
        </w:rPr>
        <w:t>NEBOSH qualifications are recognised by</w:t>
      </w:r>
      <w:r>
        <w:rPr>
          <w:rFonts w:ascii="Arial" w:hAnsi="Arial" w:cs="Arial"/>
        </w:rPr>
        <w:t xml:space="preserve"> all</w:t>
      </w:r>
      <w:r w:rsidR="00363AD9" w:rsidRPr="00B67E8E">
        <w:rPr>
          <w:rFonts w:ascii="Arial" w:hAnsi="Arial" w:cs="Arial"/>
        </w:rPr>
        <w:t xml:space="preserve"> the relevant</w:t>
      </w:r>
      <w:r>
        <w:rPr>
          <w:rFonts w:ascii="Arial" w:hAnsi="Arial" w:cs="Arial"/>
        </w:rPr>
        <w:t xml:space="preserve"> professional membership bodies. </w:t>
      </w:r>
    </w:p>
    <w:p w14:paraId="158EF479" w14:textId="33E883B6" w:rsidR="00363AD9" w:rsidRDefault="00363AD9" w:rsidP="00363AD9">
      <w:pPr>
        <w:rPr>
          <w:rFonts w:ascii="Arial" w:hAnsi="Arial" w:cs="Arial"/>
        </w:rPr>
      </w:pPr>
      <w:r w:rsidRPr="00363AD9">
        <w:rPr>
          <w:rFonts w:ascii="Arial" w:hAnsi="Arial" w:cs="Arial"/>
        </w:rPr>
        <w:t>In 2014, NEBOSH received a Queen’s Award for Enterprise for Outstanding Achievement in International Trade in recognition of our international success.</w:t>
      </w:r>
    </w:p>
    <w:p w14:paraId="2CE92254" w14:textId="12BC97BD" w:rsidR="0052159A" w:rsidRPr="0052159A" w:rsidRDefault="0052159A" w:rsidP="00363AD9">
      <w:pPr>
        <w:rPr>
          <w:rFonts w:ascii="Arial" w:hAnsi="Arial" w:cs="Arial"/>
          <w:b/>
          <w:bCs/>
        </w:rPr>
      </w:pPr>
      <w:r w:rsidRPr="0052159A">
        <w:rPr>
          <w:rFonts w:ascii="Arial" w:hAnsi="Arial" w:cs="Arial"/>
          <w:b/>
          <w:bCs/>
        </w:rPr>
        <w:t>About the Health and Safety Executive</w:t>
      </w:r>
    </w:p>
    <w:p w14:paraId="09CDB390" w14:textId="43080E4E" w:rsidR="00DE0A0D" w:rsidRPr="008F1461" w:rsidRDefault="00DE0A0D" w:rsidP="00DE0A0D">
      <w:pPr>
        <w:spacing w:after="240" w:line="240" w:lineRule="auto"/>
        <w:textAlignment w:val="baseline"/>
        <w:rPr>
          <w:rFonts w:ascii="Arial" w:eastAsia="Times New Roman" w:hAnsi="Arial" w:cs="Arial"/>
          <w:color w:val="111111"/>
          <w:lang w:eastAsia="en-GB"/>
        </w:rPr>
      </w:pPr>
      <w:r w:rsidRPr="008F1461">
        <w:rPr>
          <w:rFonts w:ascii="Arial" w:eastAsia="Times New Roman" w:hAnsi="Arial" w:cs="Arial"/>
          <w:color w:val="111111"/>
          <w:lang w:eastAsia="en-GB"/>
        </w:rPr>
        <w:t>At the Health and Safety Executive</w:t>
      </w:r>
      <w:r w:rsidR="00AC7DA6">
        <w:rPr>
          <w:rFonts w:ascii="Arial" w:eastAsia="Times New Roman" w:hAnsi="Arial" w:cs="Arial"/>
          <w:color w:val="111111"/>
          <w:lang w:eastAsia="en-GB"/>
        </w:rPr>
        <w:t xml:space="preserve"> (HSE)</w:t>
      </w:r>
      <w:r w:rsidRPr="008F1461">
        <w:rPr>
          <w:rFonts w:ascii="Arial" w:eastAsia="Times New Roman" w:hAnsi="Arial" w:cs="Arial"/>
          <w:color w:val="111111"/>
          <w:lang w:eastAsia="en-GB"/>
        </w:rPr>
        <w:t>, we believe everyone has the right to come home safe and well from their job. That's why our mission is to prevent work-related death, injury and ill health.</w:t>
      </w:r>
    </w:p>
    <w:p w14:paraId="336E4E0A" w14:textId="6CB038D1" w:rsidR="00DE0A0D" w:rsidRPr="008F1461" w:rsidRDefault="00DE0A0D" w:rsidP="00DE0A0D">
      <w:pPr>
        <w:spacing w:after="240" w:line="240" w:lineRule="auto"/>
        <w:textAlignment w:val="baseline"/>
        <w:rPr>
          <w:rFonts w:ascii="Arial" w:eastAsia="Times New Roman" w:hAnsi="Arial" w:cs="Arial"/>
          <w:color w:val="111111"/>
          <w:lang w:eastAsia="en-GB"/>
        </w:rPr>
      </w:pPr>
      <w:r w:rsidRPr="008F1461">
        <w:rPr>
          <w:rFonts w:ascii="Arial" w:eastAsia="Times New Roman" w:hAnsi="Arial" w:cs="Arial"/>
          <w:color w:val="111111"/>
          <w:lang w:eastAsia="en-GB"/>
        </w:rPr>
        <w:t>We are proud of the support we provide to businesses. By giving employers the confidence to manage risks correctly, we boost productivity, support the economy and contribute to a fairer society.</w:t>
      </w:r>
    </w:p>
    <w:p w14:paraId="29B4AE59" w14:textId="77777777" w:rsidR="00DE0A0D" w:rsidRPr="008F1461" w:rsidRDefault="00DE0A0D" w:rsidP="00DE0A0D">
      <w:pPr>
        <w:spacing w:after="240" w:line="240" w:lineRule="auto"/>
        <w:textAlignment w:val="baseline"/>
        <w:rPr>
          <w:rFonts w:ascii="Arial" w:eastAsia="Times New Roman" w:hAnsi="Arial" w:cs="Arial"/>
          <w:color w:val="111111"/>
          <w:lang w:eastAsia="en-GB"/>
        </w:rPr>
      </w:pPr>
      <w:r w:rsidRPr="008F1461">
        <w:rPr>
          <w:rFonts w:ascii="Arial" w:eastAsia="Times New Roman" w:hAnsi="Arial" w:cs="Arial"/>
          <w:color w:val="111111"/>
          <w:lang w:eastAsia="en-GB"/>
        </w:rPr>
        <w:t>HSE helps workers understand how they can stay safe and well.</w:t>
      </w:r>
    </w:p>
    <w:p w14:paraId="2845826D" w14:textId="77777777" w:rsidR="00363AD9" w:rsidRPr="00363AD9" w:rsidRDefault="00363AD9" w:rsidP="0077207C">
      <w:pPr>
        <w:spacing w:after="0" w:line="360" w:lineRule="auto"/>
        <w:rPr>
          <w:rFonts w:ascii="Arial" w:hAnsi="Arial" w:cs="Arial"/>
          <w:b/>
        </w:rPr>
      </w:pPr>
      <w:r w:rsidRPr="00363AD9">
        <w:rPr>
          <w:rFonts w:ascii="Arial" w:hAnsi="Arial" w:cs="Arial"/>
          <w:b/>
        </w:rPr>
        <w:t>Contact</w:t>
      </w:r>
    </w:p>
    <w:p w14:paraId="0DA9597B" w14:textId="77777777" w:rsidR="0077207C" w:rsidRDefault="0077207C" w:rsidP="0077207C">
      <w:pPr>
        <w:spacing w:after="0" w:line="360" w:lineRule="auto"/>
        <w:rPr>
          <w:rFonts w:ascii="Arial" w:hAnsi="Arial" w:cs="Arial"/>
        </w:rPr>
      </w:pPr>
      <w:r w:rsidRPr="00B67E8E">
        <w:rPr>
          <w:rFonts w:ascii="Arial" w:hAnsi="Arial" w:cs="Arial"/>
        </w:rPr>
        <w:t>For more information please contact:</w:t>
      </w:r>
    </w:p>
    <w:p w14:paraId="1058F283" w14:textId="5664D01E" w:rsidR="009D3F56" w:rsidRDefault="00135167" w:rsidP="009D3F56">
      <w:pPr>
        <w:spacing w:after="0" w:line="240" w:lineRule="auto"/>
        <w:rPr>
          <w:rFonts w:ascii="Arial" w:hAnsi="Arial" w:cs="Arial"/>
        </w:rPr>
      </w:pPr>
      <w:r>
        <w:rPr>
          <w:rFonts w:ascii="Arial" w:hAnsi="Arial" w:cs="Arial"/>
        </w:rPr>
        <w:br/>
      </w:r>
      <w:r w:rsidR="009D3F56">
        <w:rPr>
          <w:rFonts w:ascii="Arial" w:hAnsi="Arial" w:cs="Arial"/>
        </w:rPr>
        <w:t xml:space="preserve">Jenny Pratt, NEBOSH </w:t>
      </w:r>
      <w:r w:rsidR="00CA112C">
        <w:rPr>
          <w:rFonts w:ascii="Arial" w:hAnsi="Arial" w:cs="Arial"/>
        </w:rPr>
        <w:t>Head of Communications</w:t>
      </w:r>
      <w:r w:rsidR="009D3F56">
        <w:rPr>
          <w:rStyle w:val="Hyperlink"/>
          <w:rFonts w:ascii="Arial" w:hAnsi="Arial" w:cs="Arial"/>
        </w:rPr>
        <w:br/>
      </w:r>
      <w:hyperlink r:id="rId11" w:history="1">
        <w:r w:rsidR="009D3F56" w:rsidRPr="00502620">
          <w:rPr>
            <w:rStyle w:val="Hyperlink"/>
            <w:rFonts w:ascii="Arial" w:hAnsi="Arial" w:cs="Arial"/>
          </w:rPr>
          <w:t>jenny.pratt@nebosh.org.uk</w:t>
        </w:r>
      </w:hyperlink>
    </w:p>
    <w:p w14:paraId="3F5C41B0" w14:textId="77777777" w:rsidR="009D3F56" w:rsidRDefault="009D3F56" w:rsidP="009D3F56">
      <w:pPr>
        <w:spacing w:after="0" w:line="240" w:lineRule="auto"/>
        <w:rPr>
          <w:rFonts w:ascii="Arial" w:hAnsi="Arial" w:cs="Arial"/>
        </w:rPr>
      </w:pPr>
    </w:p>
    <w:p w14:paraId="745482F8" w14:textId="77777777" w:rsidR="00272589" w:rsidRPr="00135167" w:rsidRDefault="00272589" w:rsidP="008B0906">
      <w:pPr>
        <w:spacing w:after="0" w:line="360" w:lineRule="auto"/>
        <w:rPr>
          <w:rFonts w:ascii="Arial" w:hAnsi="Arial" w:cs="Arial"/>
          <w:color w:val="0563C1" w:themeColor="hyperlink"/>
          <w:u w:val="single"/>
        </w:rPr>
      </w:pPr>
    </w:p>
    <w:p w14:paraId="693160EC" w14:textId="77777777" w:rsidR="002E48A3" w:rsidRPr="00B67E8E" w:rsidRDefault="002E48A3">
      <w:pPr>
        <w:rPr>
          <w:rFonts w:ascii="Arial" w:hAnsi="Arial" w:cs="Arial"/>
        </w:rPr>
      </w:pPr>
    </w:p>
    <w:sectPr w:rsidR="002E48A3" w:rsidRPr="00B67E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B394" w14:textId="77777777" w:rsidR="00AC703C" w:rsidRDefault="00AC703C" w:rsidP="008746DB">
      <w:pPr>
        <w:spacing w:after="0" w:line="240" w:lineRule="auto"/>
      </w:pPr>
      <w:r>
        <w:separator/>
      </w:r>
    </w:p>
  </w:endnote>
  <w:endnote w:type="continuationSeparator" w:id="0">
    <w:p w14:paraId="1EACD243" w14:textId="77777777" w:rsidR="00AC703C" w:rsidRDefault="00AC703C" w:rsidP="0087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yriad Pr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39D" w14:textId="77777777" w:rsidR="008746DB" w:rsidRDefault="0087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A92" w14:textId="77777777" w:rsidR="008746DB" w:rsidRDefault="00874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D90F" w14:textId="77777777" w:rsidR="008746DB" w:rsidRDefault="0087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F609" w14:textId="77777777" w:rsidR="00AC703C" w:rsidRDefault="00AC703C" w:rsidP="008746DB">
      <w:pPr>
        <w:spacing w:after="0" w:line="240" w:lineRule="auto"/>
      </w:pPr>
      <w:r>
        <w:separator/>
      </w:r>
    </w:p>
  </w:footnote>
  <w:footnote w:type="continuationSeparator" w:id="0">
    <w:p w14:paraId="6DCCD828" w14:textId="77777777" w:rsidR="00AC703C" w:rsidRDefault="00AC703C" w:rsidP="0087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072B" w14:textId="7C2F7026" w:rsidR="008746DB" w:rsidRDefault="00B26F33">
    <w:pPr>
      <w:pStyle w:val="Header"/>
    </w:pPr>
    <w:r>
      <w:rPr>
        <w:noProof/>
      </w:rPr>
      <w:pict w14:anchorId="2BA53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2735"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9AD8" w14:textId="63E3FE9C" w:rsidR="008746DB" w:rsidRDefault="00B26F33">
    <w:pPr>
      <w:pStyle w:val="Header"/>
    </w:pPr>
    <w:r>
      <w:rPr>
        <w:noProof/>
      </w:rPr>
      <w:pict w14:anchorId="44F0C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2736" o:spid="_x0000_s2051"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427" w14:textId="35E3DB6D" w:rsidR="008746DB" w:rsidRDefault="00B26F33">
    <w:pPr>
      <w:pStyle w:val="Header"/>
    </w:pPr>
    <w:r>
      <w:rPr>
        <w:noProof/>
      </w:rPr>
      <w:pict w14:anchorId="6AA77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2734"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4C30"/>
    <w:multiLevelType w:val="hybridMultilevel"/>
    <w:tmpl w:val="B7DAB13C"/>
    <w:lvl w:ilvl="0" w:tplc="F8DCC5B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62DED"/>
    <w:multiLevelType w:val="hybridMultilevel"/>
    <w:tmpl w:val="8D86B224"/>
    <w:lvl w:ilvl="0" w:tplc="D82EEAA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C5"/>
    <w:rsid w:val="00002B57"/>
    <w:rsid w:val="00027C7E"/>
    <w:rsid w:val="00047AAF"/>
    <w:rsid w:val="000537EC"/>
    <w:rsid w:val="00061ECF"/>
    <w:rsid w:val="00080C0C"/>
    <w:rsid w:val="0009786F"/>
    <w:rsid w:val="000A1440"/>
    <w:rsid w:val="000F5283"/>
    <w:rsid w:val="00105409"/>
    <w:rsid w:val="00135167"/>
    <w:rsid w:val="00147D7A"/>
    <w:rsid w:val="001865AF"/>
    <w:rsid w:val="001A45F8"/>
    <w:rsid w:val="001B6D3D"/>
    <w:rsid w:val="001D5209"/>
    <w:rsid w:val="001E6DE9"/>
    <w:rsid w:val="001F3A07"/>
    <w:rsid w:val="00215E01"/>
    <w:rsid w:val="00221CCF"/>
    <w:rsid w:val="00224AFB"/>
    <w:rsid w:val="00246112"/>
    <w:rsid w:val="00272589"/>
    <w:rsid w:val="0027268D"/>
    <w:rsid w:val="002A7DCE"/>
    <w:rsid w:val="002E48A3"/>
    <w:rsid w:val="003066AB"/>
    <w:rsid w:val="00363AD9"/>
    <w:rsid w:val="00372285"/>
    <w:rsid w:val="003808C1"/>
    <w:rsid w:val="003A62E8"/>
    <w:rsid w:val="003B3B87"/>
    <w:rsid w:val="003B654B"/>
    <w:rsid w:val="003C39AA"/>
    <w:rsid w:val="004022D2"/>
    <w:rsid w:val="004251FE"/>
    <w:rsid w:val="00431142"/>
    <w:rsid w:val="00436F4F"/>
    <w:rsid w:val="004766DE"/>
    <w:rsid w:val="004849CD"/>
    <w:rsid w:val="004B5488"/>
    <w:rsid w:val="004D3875"/>
    <w:rsid w:val="004D3C5E"/>
    <w:rsid w:val="004D4AF2"/>
    <w:rsid w:val="004D6DAB"/>
    <w:rsid w:val="0050072C"/>
    <w:rsid w:val="00510ED3"/>
    <w:rsid w:val="0052159A"/>
    <w:rsid w:val="00543F80"/>
    <w:rsid w:val="005865C5"/>
    <w:rsid w:val="0058765B"/>
    <w:rsid w:val="005B152E"/>
    <w:rsid w:val="006006C7"/>
    <w:rsid w:val="00614EEF"/>
    <w:rsid w:val="00640CC1"/>
    <w:rsid w:val="006451FB"/>
    <w:rsid w:val="00655A08"/>
    <w:rsid w:val="00681CBA"/>
    <w:rsid w:val="00691BEE"/>
    <w:rsid w:val="00695D48"/>
    <w:rsid w:val="006D1C66"/>
    <w:rsid w:val="006E43A4"/>
    <w:rsid w:val="00713343"/>
    <w:rsid w:val="00721B8A"/>
    <w:rsid w:val="00732CCA"/>
    <w:rsid w:val="00763ABF"/>
    <w:rsid w:val="0077207C"/>
    <w:rsid w:val="007D1872"/>
    <w:rsid w:val="00807DFE"/>
    <w:rsid w:val="008252E4"/>
    <w:rsid w:val="00854CE9"/>
    <w:rsid w:val="008746DB"/>
    <w:rsid w:val="008923C8"/>
    <w:rsid w:val="008A581C"/>
    <w:rsid w:val="008B0906"/>
    <w:rsid w:val="008F1461"/>
    <w:rsid w:val="00937C72"/>
    <w:rsid w:val="009523B2"/>
    <w:rsid w:val="009918BA"/>
    <w:rsid w:val="009D3F56"/>
    <w:rsid w:val="009F2D09"/>
    <w:rsid w:val="00A0594F"/>
    <w:rsid w:val="00A11379"/>
    <w:rsid w:val="00A37245"/>
    <w:rsid w:val="00A46FA4"/>
    <w:rsid w:val="00A51C16"/>
    <w:rsid w:val="00A52CF3"/>
    <w:rsid w:val="00A556BF"/>
    <w:rsid w:val="00A77C6A"/>
    <w:rsid w:val="00AC1240"/>
    <w:rsid w:val="00AC703C"/>
    <w:rsid w:val="00AC7DA6"/>
    <w:rsid w:val="00AC7E17"/>
    <w:rsid w:val="00B24F09"/>
    <w:rsid w:val="00B26F33"/>
    <w:rsid w:val="00B41E1F"/>
    <w:rsid w:val="00B456AE"/>
    <w:rsid w:val="00B53291"/>
    <w:rsid w:val="00B633E0"/>
    <w:rsid w:val="00B67E8E"/>
    <w:rsid w:val="00B8433B"/>
    <w:rsid w:val="00BA3A49"/>
    <w:rsid w:val="00BD2304"/>
    <w:rsid w:val="00BF1A44"/>
    <w:rsid w:val="00C011BA"/>
    <w:rsid w:val="00C11144"/>
    <w:rsid w:val="00C32663"/>
    <w:rsid w:val="00C468F8"/>
    <w:rsid w:val="00C87600"/>
    <w:rsid w:val="00CA112C"/>
    <w:rsid w:val="00CF3DAB"/>
    <w:rsid w:val="00CF57FE"/>
    <w:rsid w:val="00D53724"/>
    <w:rsid w:val="00D8020F"/>
    <w:rsid w:val="00D84C99"/>
    <w:rsid w:val="00DC0DDF"/>
    <w:rsid w:val="00DE0A0D"/>
    <w:rsid w:val="00E17070"/>
    <w:rsid w:val="00E30870"/>
    <w:rsid w:val="00E3662E"/>
    <w:rsid w:val="00E7294C"/>
    <w:rsid w:val="00E908D9"/>
    <w:rsid w:val="00EE7C4D"/>
    <w:rsid w:val="00EF347A"/>
    <w:rsid w:val="00F04F54"/>
    <w:rsid w:val="00F10F97"/>
    <w:rsid w:val="00F2670C"/>
    <w:rsid w:val="00F27E9D"/>
    <w:rsid w:val="00F50FC4"/>
    <w:rsid w:val="00F54F0C"/>
    <w:rsid w:val="00FA2538"/>
    <w:rsid w:val="00FD2CA3"/>
    <w:rsid w:val="00FD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8F669"/>
  <w15:docId w15:val="{78CCBB59-D998-43F6-B7C8-10949639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5C5"/>
    <w:pPr>
      <w:keepNext/>
      <w:spacing w:after="0" w:line="240" w:lineRule="auto"/>
      <w:jc w:val="both"/>
      <w:outlineLvl w:val="0"/>
    </w:pPr>
    <w:rPr>
      <w:rFonts w:ascii="Arial" w:eastAsiaTheme="minorEastAsia" w:hAnsi="Arial" w:cs="Times New Roman"/>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5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865C5"/>
    <w:rPr>
      <w:rFonts w:ascii="Arial" w:eastAsiaTheme="minorEastAsia" w:hAnsi="Arial" w:cs="Times New Roman"/>
      <w:b/>
      <w:color w:val="000000"/>
      <w:sz w:val="32"/>
      <w:szCs w:val="20"/>
    </w:rPr>
  </w:style>
  <w:style w:type="paragraph" w:styleId="Header">
    <w:name w:val="header"/>
    <w:basedOn w:val="Normal"/>
    <w:link w:val="HeaderChar"/>
    <w:uiPriority w:val="99"/>
    <w:rsid w:val="005865C5"/>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5865C5"/>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7207C"/>
    <w:rPr>
      <w:color w:val="0563C1" w:themeColor="hyperlink"/>
      <w:u w:val="single"/>
    </w:rPr>
  </w:style>
  <w:style w:type="paragraph" w:styleId="BalloonText">
    <w:name w:val="Balloon Text"/>
    <w:basedOn w:val="Normal"/>
    <w:link w:val="BalloonTextChar"/>
    <w:uiPriority w:val="99"/>
    <w:semiHidden/>
    <w:unhideWhenUsed/>
    <w:rsid w:val="004D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75"/>
    <w:rPr>
      <w:rFonts w:ascii="Segoe UI" w:hAnsi="Segoe UI" w:cs="Segoe UI"/>
      <w:sz w:val="18"/>
      <w:szCs w:val="18"/>
    </w:rPr>
  </w:style>
  <w:style w:type="paragraph" w:customStyle="1" w:styleId="Body">
    <w:name w:val="Body"/>
    <w:rsid w:val="00A77C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dyA">
    <w:name w:val="Body A"/>
    <w:rsid w:val="001351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None">
    <w:name w:val="None"/>
    <w:rsid w:val="00135167"/>
  </w:style>
  <w:style w:type="character" w:styleId="CommentReference">
    <w:name w:val="annotation reference"/>
    <w:basedOn w:val="DefaultParagraphFont"/>
    <w:uiPriority w:val="99"/>
    <w:semiHidden/>
    <w:unhideWhenUsed/>
    <w:rsid w:val="00C87600"/>
    <w:rPr>
      <w:sz w:val="16"/>
      <w:szCs w:val="16"/>
    </w:rPr>
  </w:style>
  <w:style w:type="paragraph" w:styleId="CommentText">
    <w:name w:val="annotation text"/>
    <w:basedOn w:val="Normal"/>
    <w:link w:val="CommentTextChar"/>
    <w:uiPriority w:val="99"/>
    <w:semiHidden/>
    <w:unhideWhenUsed/>
    <w:rsid w:val="00C87600"/>
    <w:pPr>
      <w:spacing w:line="240" w:lineRule="auto"/>
    </w:pPr>
    <w:rPr>
      <w:sz w:val="20"/>
      <w:szCs w:val="20"/>
    </w:rPr>
  </w:style>
  <w:style w:type="character" w:customStyle="1" w:styleId="CommentTextChar">
    <w:name w:val="Comment Text Char"/>
    <w:basedOn w:val="DefaultParagraphFont"/>
    <w:link w:val="CommentText"/>
    <w:uiPriority w:val="99"/>
    <w:semiHidden/>
    <w:rsid w:val="00C87600"/>
    <w:rPr>
      <w:sz w:val="20"/>
      <w:szCs w:val="20"/>
    </w:rPr>
  </w:style>
  <w:style w:type="paragraph" w:styleId="CommentSubject">
    <w:name w:val="annotation subject"/>
    <w:basedOn w:val="CommentText"/>
    <w:next w:val="CommentText"/>
    <w:link w:val="CommentSubjectChar"/>
    <w:uiPriority w:val="99"/>
    <w:semiHidden/>
    <w:unhideWhenUsed/>
    <w:rsid w:val="00C87600"/>
    <w:rPr>
      <w:b/>
      <w:bCs/>
    </w:rPr>
  </w:style>
  <w:style w:type="character" w:customStyle="1" w:styleId="CommentSubjectChar">
    <w:name w:val="Comment Subject Char"/>
    <w:basedOn w:val="CommentTextChar"/>
    <w:link w:val="CommentSubject"/>
    <w:uiPriority w:val="99"/>
    <w:semiHidden/>
    <w:rsid w:val="00C87600"/>
    <w:rPr>
      <w:b/>
      <w:bCs/>
      <w:sz w:val="20"/>
      <w:szCs w:val="20"/>
    </w:rPr>
  </w:style>
  <w:style w:type="paragraph" w:styleId="Footer">
    <w:name w:val="footer"/>
    <w:basedOn w:val="Normal"/>
    <w:link w:val="FooterChar"/>
    <w:uiPriority w:val="99"/>
    <w:unhideWhenUsed/>
    <w:rsid w:val="0087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307">
      <w:bodyDiv w:val="1"/>
      <w:marLeft w:val="0"/>
      <w:marRight w:val="0"/>
      <w:marTop w:val="0"/>
      <w:marBottom w:val="0"/>
      <w:divBdr>
        <w:top w:val="none" w:sz="0" w:space="0" w:color="auto"/>
        <w:left w:val="none" w:sz="0" w:space="0" w:color="auto"/>
        <w:bottom w:val="none" w:sz="0" w:space="0" w:color="auto"/>
        <w:right w:val="none" w:sz="0" w:space="0" w:color="auto"/>
      </w:divBdr>
    </w:div>
    <w:div w:id="160000739">
      <w:bodyDiv w:val="1"/>
      <w:marLeft w:val="0"/>
      <w:marRight w:val="0"/>
      <w:marTop w:val="0"/>
      <w:marBottom w:val="0"/>
      <w:divBdr>
        <w:top w:val="none" w:sz="0" w:space="0" w:color="auto"/>
        <w:left w:val="none" w:sz="0" w:space="0" w:color="auto"/>
        <w:bottom w:val="none" w:sz="0" w:space="0" w:color="auto"/>
        <w:right w:val="none" w:sz="0" w:space="0" w:color="auto"/>
      </w:divBdr>
    </w:div>
    <w:div w:id="334964622">
      <w:bodyDiv w:val="1"/>
      <w:marLeft w:val="0"/>
      <w:marRight w:val="0"/>
      <w:marTop w:val="0"/>
      <w:marBottom w:val="0"/>
      <w:divBdr>
        <w:top w:val="none" w:sz="0" w:space="0" w:color="auto"/>
        <w:left w:val="none" w:sz="0" w:space="0" w:color="auto"/>
        <w:bottom w:val="none" w:sz="0" w:space="0" w:color="auto"/>
        <w:right w:val="none" w:sz="0" w:space="0" w:color="auto"/>
      </w:divBdr>
    </w:div>
    <w:div w:id="1244410765">
      <w:bodyDiv w:val="1"/>
      <w:marLeft w:val="0"/>
      <w:marRight w:val="0"/>
      <w:marTop w:val="0"/>
      <w:marBottom w:val="0"/>
      <w:divBdr>
        <w:top w:val="none" w:sz="0" w:space="0" w:color="auto"/>
        <w:left w:val="none" w:sz="0" w:space="0" w:color="auto"/>
        <w:bottom w:val="none" w:sz="0" w:space="0" w:color="auto"/>
        <w:right w:val="none" w:sz="0" w:space="0" w:color="auto"/>
      </w:divBdr>
    </w:div>
    <w:div w:id="1281105000">
      <w:bodyDiv w:val="1"/>
      <w:marLeft w:val="0"/>
      <w:marRight w:val="0"/>
      <w:marTop w:val="0"/>
      <w:marBottom w:val="0"/>
      <w:divBdr>
        <w:top w:val="none" w:sz="0" w:space="0" w:color="auto"/>
        <w:left w:val="none" w:sz="0" w:space="0" w:color="auto"/>
        <w:bottom w:val="none" w:sz="0" w:space="0" w:color="auto"/>
        <w:right w:val="none" w:sz="0" w:space="0" w:color="auto"/>
      </w:divBdr>
    </w:div>
    <w:div w:id="1332298367">
      <w:bodyDiv w:val="1"/>
      <w:marLeft w:val="0"/>
      <w:marRight w:val="0"/>
      <w:marTop w:val="0"/>
      <w:marBottom w:val="0"/>
      <w:divBdr>
        <w:top w:val="none" w:sz="0" w:space="0" w:color="auto"/>
        <w:left w:val="none" w:sz="0" w:space="0" w:color="auto"/>
        <w:bottom w:val="none" w:sz="0" w:space="0" w:color="auto"/>
        <w:right w:val="none" w:sz="0" w:space="0" w:color="auto"/>
      </w:divBdr>
    </w:div>
    <w:div w:id="14568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ratt@nebosh.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798DD02E58F4A89C6B2DC42342D19" ma:contentTypeVersion="13" ma:contentTypeDescription="Create a new document." ma:contentTypeScope="" ma:versionID="48346b9e9403da83d505b065cde62f13">
  <xsd:schema xmlns:xsd="http://www.w3.org/2001/XMLSchema" xmlns:xs="http://www.w3.org/2001/XMLSchema" xmlns:p="http://schemas.microsoft.com/office/2006/metadata/properties" xmlns:ns3="0a48f1ab-552f-4905-a34c-56bb06f23143" xmlns:ns4="d45e977f-4bc5-4a74-9631-0e50af81b300" targetNamespace="http://schemas.microsoft.com/office/2006/metadata/properties" ma:root="true" ma:fieldsID="e2edbebca0330bfa8d79c2de60cc150e" ns3:_="" ns4:_="">
    <xsd:import namespace="0a48f1ab-552f-4905-a34c-56bb06f23143"/>
    <xsd:import namespace="d45e977f-4bc5-4a74-9631-0e50af81b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8f1ab-552f-4905-a34c-56bb06f2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e977f-4bc5-4a74-9631-0e50af81b3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F3B95-95F2-49D9-A64E-4987FC03717A}">
  <ds:schemaRefs>
    <ds:schemaRef ds:uri="http://schemas.microsoft.com/sharepoint/v3/contenttype/forms"/>
  </ds:schemaRefs>
</ds:datastoreItem>
</file>

<file path=customXml/itemProps2.xml><?xml version="1.0" encoding="utf-8"?>
<ds:datastoreItem xmlns:ds="http://schemas.openxmlformats.org/officeDocument/2006/customXml" ds:itemID="{8E3DD6B3-EF9F-4944-98BF-5A3F12EC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8f1ab-552f-4905-a34c-56bb06f23143"/>
    <ds:schemaRef ds:uri="d45e977f-4bc5-4a74-9631-0e50af81b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39CB1-9213-4151-B442-5C7786F92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NEBOSH</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Whiting</dc:creator>
  <cp:lastModifiedBy>Jenny Pratt</cp:lastModifiedBy>
  <cp:revision>5</cp:revision>
  <cp:lastPrinted>2019-11-07T14:32:00Z</cp:lastPrinted>
  <dcterms:created xsi:type="dcterms:W3CDTF">2021-03-30T13:05:00Z</dcterms:created>
  <dcterms:modified xsi:type="dcterms:W3CDTF">2021-04-14T10:40:00Z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0x010100E30798DD02E58F4A89C6B2DC42342D19</vt:lpwstr>
  </property>
</Properties>
</file>